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20 296 vom 15. Mai 2023</w:t>
      </w:r>
    </w:p>
    <w:p>
      <w:r>
        <w:t>VS Kantonsgericht, 2023-05-15, FR</w:t>
      </w:r>
    </w:p>
    <w:p>
      <w:r>
        <w:rPr>
          <w:b/>
        </w:rPr>
        <w:t xml:space="preserve">Quelle: </w:t>
      </w:r>
      <w:r>
        <w:t>https://mcp.opencaselaw.ch/entscheid/vs_gerichte_S1 20 296</w:t>
      </w:r>
    </w:p>
    <w:p>
      <w:r>
        <w:t>FR: VS_GERICHTE S1 20 296 du 15 mai 2023</w:t>
      </w:r>
    </w:p>
    <w:p>
      <w:r>
        <w:t>IT: VS_GERICHTE S1 20 296 del 15 maggio 2023</w:t>
      </w:r>
    </w:p>
    <w:p>
      <w:pPr>
        <w:pStyle w:val="Heading2"/>
      </w:pPr>
      <w:r>
        <w:t>Regeste</w:t>
      </w:r>
    </w:p>
    <w:p>
      <w:r>
        <w:t>S1 20 296 JUGEMENT DU 15 MAI 2023 Tribunal cantonal du Valais Cour des assurances sociales Composition : Candido Prada, président ; Jean-Bernard Fournier et Christophe Joris, juges ; Mireille Allegro, greffière en la cause X _________, recourant, représenté par Maître Romain Kramer, avocat, 1800 Vevey contre OFFICE CANTONAL AI DU VALAIS, 1950 Sion, intimé (art. 17 LPGA ; nouvelle demande)</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16 décembre 2020, le présent recours à l'encontre de la décision du 11 novembre 2020, reçue par le mandataire le 16 novembre suivant, a été interjeté dans le délai légal de trente jours (art. 60 LPGA) et devant l'instance compétente (art. 56 et 57 LPGA et art. 69 al. 1 let. a LAI ; art. 81a al. 1 LPJA). Il répond par ailleurs aux autres conditions formelles de recevabilité (art. 61 let. b LPGA), de sorte que la Cour doit entrer en matière.</w:t>
      </w:r>
    </w:p>
    <w:p>
      <w:r>
        <w:rPr>
          <w:b/>
        </w:rPr>
        <w:t>E. 2</w:t>
      </w:r>
    </w:p>
    <w:p>
      <w:r>
        <w:t>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w:t>
      </w:r>
    </w:p>
    <w:p>
      <w:r>
        <w:t>- 10 - principe de la libre appréciation des preuves (cf. art. 61 let. c LPGA ; ATF 125 V 351 consid. 3a), les autorités appelées à statuer ont en effet le devoir d'examiner objectivement tous les documents à disposition, quelle que soit leur provenance, puis de décider s'ils permettent de porter un jugement valable sur le droit litigieux (cf. arrêts du Tribunal fédéral 9C_542/2011 du 26 janvier 2012 consid. 4.1 et I 143/07 du 14 septembre 2007 consid. 3.3).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(ATF 135 V 465 consid. 4.5).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8C_796/2016 précité consid. 3.3).</w:t>
      </w:r>
    </w:p>
    <w:p>
      <w:r>
        <w:rPr>
          <w:b/>
        </w:rPr>
        <w:t>E. 4</w:t>
      </w:r>
    </w:p>
    <w:p>
      <w:r>
        <w:t>L'intimé étant entré en matière sur la nouvelle demande de l’assuré du mois de juillet 2020, il sied d’examiner si un changement important des circonstances s'est produit en comparant les faits tels qu'ils se présentaient lors de la décision de refus de rente du 24 octobre 2011 et les circonstances régnant à l'époque de la décision litigieuse du 11 novembre 2020 (ATF 133 V 108 consid. 5 ; 130 V 343 consid. 3.5.2 ; 125 V 369 consid. 2 et la référence).</w:t>
      </w:r>
    </w:p>
    <w:p>
      <w:r>
        <w:rPr>
          <w:b/>
        </w:rPr>
        <w:t>E. 4.1</w:t>
      </w:r>
    </w:p>
    <w:p>
      <w:r>
        <w:t>En l’espèce, à l’époque de la décision de refus de rente du 24 octobre 2011, le recourant venait de subir une 3e microdiscectomie L4-L5 le 2 novembre 2010 et souffrait de lombalgies chroniques sur status post cure de hernie discale L5-S1 gauche le 14 février 2005 avec déficit modéré sensitivomoteur du membre inférieur droit, canal lombaire étroit L4-L5 et status post microdiscectomie pour hernie discale L4-L5 le 15 mai 2007 (cf. rapport final du SMR du 30 mai 2011 ; pièce 70). 4.2.1 Lors de la nouvelle demande de juillet 2020, le Dr H _________ a signalé que l’assuré avait subi une nouvelle intervention sur le rachis lombaire en 2014 et qu’il avait présenté des cervico-scapulalgies gauches et des brachialgies intermittentes dès octobre 2018, dans le cadre d’une hernie discale C3-C4 droite, lesquelles avaient justifié une incapacité de travail totale dans son emploi de concierge dès le 31 janvier 2020.</w:t>
      </w:r>
    </w:p>
    <w:p>
      <w:r>
        <w:t>- 11 - C’est en raison de ce dernier élément que l’intimé a accepté d’entrer en matière sur la nouvelle demande du recourant et de soumettre l’ensemble des rapports médicaux au SMR pour un avis final sur la capacité de travail encore exigible de la part de l’intéressé. Comme l’a relevé l’intimé, respectivement le SMR, la récidive de hernie discale L5-S1 opérée le 12 septembre 2014 n’était pas à proprement parler un élément nouveau, puisque l’atteinte lombaire était déjà connue depuis 2005 et que plusieurs limitations fonctionnelles avaient déjà été admises en lien avec cette problématique. 4.2.2 Quoi qu’il en soit, contrairement à ce que prétend le recourant, il sied d’admettre que le SMR a dûment apprécié l’ensemble du dossier médical dans ses rapports des 17 août 2020 et 28 octobre 2020. La Cour ne voit pas quel aspect médical aurait été négligé par le SMR. Ce dernier a tenu compte tant des lombalgies chroniques que des cervico-brachialgies gauches pour apprécier la capacité de travail résiduelle du recourant. Toute une série de limitations fonctionnelles en lien avec ces atteintes a été reconnue. Ni le recourant, ni son médecin traitant ne le contestent. Ces derniers estiment cependant que même en choisissant une activité parfaitement adaptée aux handicaps du recourant, la capacité de travail de celui-ci ne serait pas entière. Selon le Dr H _________, dans son dernier rapport du 25 janvier 2021 remis en cours de procédure, la capacité de travail résiduelle serait de 50% au vu de l’IRM lombaire du 20 janvier 2021 confirmant les plaintes du patient. Le médecin traitant ne motive toutefois pas son avis par des constatations objectives et ne dit pas quels éléments ayant un impact sur la capacité de travail n’auraient pas été pris en compte par le SMR. Il sied de relever que ce dernier ne nie pas les douleurs aux niveaux lombaire et cervical, mais qu’il estime que dans une activité adaptée (ce qui n’est pas le cas de l’activité d’aide électricien ni de celle de concierge qu’a exercées le recourant, contrevenant ainsi à son obligation de réduire le dommage) les douleurs ne seraient pas si intenses et n’empêcheraient pas le recourant de travailler. Comme l’a expliqué le SMR, en l’absence de déficit neurologique sensitivomoteur, les cervicalgies chroniques ne justifient pas une incapacité de travail durable mais uniquement des incapacités passagères durant les phases d’exacerbation (cf. pièce 132). Ce point de vue n’est pas spécifiquement remis en cause par le médecin traitant. Par ailleurs, la Cour constate qu’avant d’estimer la capacité de travail résiduelle à 50%, le Dr H _________ soutenait qu’un quart de rente d’invalidité devait être octroyé au recourant, confondant manifestement les notions d’incapacité de travail et d’invalidité (cf. rapport antérieur du 17 novembre 2020 déposé à l’appui du recours), et qu’avant la procédure de recours, le même médecin estimait qu’une réadaptation professionnelle</w:t>
      </w:r>
    </w:p>
    <w:p>
      <w:r>
        <w:t>- 12 - s’imposait compte tenu du jeune âge du patient, sans mentionner une quelconque baisse de rendement (cf. rapport 5 août 2020 déposé à l’appui de la nouvelle demande de prestations ; pièce 113). Face à de tels avis fluctuants, la Cour ne saurait accorder plus de valeur probante à l’avis du médecin traitant qu’à celui du SMR, et ceci même si celui- ci n’a pas procédé à un examen personnel de l’assuré avant de se prononcer. En effet, un tel examen n’est pas indispensable si le dossier contient suffisamment d’appréciations médicales fondées elles sur un examen personnel de l’assuré (RAMA 2001 n° U 438 p. 346), ce qui est le cas en l’espèce.</w:t>
      </w:r>
    </w:p>
    <w:p>
      <w:r>
        <w:rPr>
          <w:b/>
        </w:rPr>
        <w:t>E. 4.3</w:t>
      </w:r>
    </w:p>
    <w:p>
      <w:r>
        <w:t>Le recourant prétend encore que les activités proposées par le service de réadaptation de l’OAI ne seraient pas compatibles avec son état de santé. A cet égard, la Cour rappelle que selon une jurisprudence constante, le marché du travail offre un éventail large d’emplois simples et légers et ne requérant pas d’expérience professionnelle spécifique, dont on doit reconnaître qu’un nombre significatif pourrait parfaitement convenir au recourant. On ne saurait certes se fonder sur des possibilités de travail irréalistes, mais il ne faut non plus pas poser des exigences excessives à la concrétisation des possibilités de travail et des perspectives de gain (cf. arrêt 8C_240/2021 du 15 septembre 2021 consid. 3). Ainsi, même si les limitations fonctionnelles auxquelles est confronté le recourant peuvent paraître importantes, elles ne sont pas telles qu’elles l’empêchent d’exercer toutes activités. Même si certaines des activités listées par l’intimé (notamment ouvrier de montage dans l’horlogerie) ne paraissent pas pleinement adaptées, de nombreuses autres le sont comme celles d’employé au contrôle qualité dans le domaine de la petite production industrielle, visiteur mystère dans le domaine des banques et assurances, conseiller à la clientèle ou encore représentant.</w:t>
      </w:r>
    </w:p>
    <w:p>
      <w:r>
        <w:rPr>
          <w:b/>
        </w:rPr>
        <w:t>E. 5</w:t>
      </w:r>
    </w:p>
    <w:p>
      <w:r>
        <w:t>Dans le cadre du recours, l’assuré a produit des rapports d’IRM et de neurologues postérieurs à la décision attaquée. Si selon une jurisprudence constante, le juge des assurances sociales apprécie, en principe, la légalité des décisions attaquées d'après l'état de fait existant au moment où la décision litigieuse a été rendue (cf. ATF 136 V 24 consid. 4.3 ; 132 V 215 consid. 3.1.1 ; 130 V 445 consid. 1.2.1 ; 129 V 1 consid. 1.2 ; arrêt 9C_47/2022 du 22 novembre 2022 consid. 5.1.2), ces documents ont néanmoins été soumis au SMR, qui a constaté, dans son avis du 30 juillet 2021, que les douleurs des membres inférieurs de type radiculaire avaient été rapportées pour la première fois le 17 novembre 2020 (soit postérieurement à la décision entreprise) et qu’elles n’avaient pas nécessité d’investigations en urgence. Il a relevé que ce n’était qu’en janvier 2021, que le bilan avait permis de poser un diagnostic clair et de proposer un traitement. Il a</w:t>
      </w:r>
    </w:p>
    <w:p>
      <w:r>
        <w:t>- 13 - dès lors conclu que cette aggravation de l’état de santé de l’assuré pourrait uniquement justifier une nouvelle demande et non remettre en question la décision attaquée. La Cour se rallie à ces explications convaincantes. En effet, aucun document médical ne mentionne de signes de radiculopathie avant la décision attaquée, ni même de simples plaintes de l’assuré laissant suggérer ce genre d’atteinte. Ainsi, il sied d’admettre que l’aggravation - sous forme de radiculopathie L5 aiguë - est postérieure à la décision attaquée et ne remet pas en question la capacité de travail médico-théorique exigible du recourant à cette date-là.</w:t>
      </w:r>
    </w:p>
    <w:p>
      <w:r>
        <w:rPr>
          <w:b/>
        </w:rPr>
        <w:t>E. 6</w:t>
      </w:r>
    </w:p>
    <w:p>
      <w:r>
        <w:t>S’agissant du calcul du taux d’invalidité, le recourant conteste le revenu d’invalide fixé sur la base de l'Enquête sur la structure des salaires (ESS), ainsi que le taux d’abattement de 10% qu’il estime insuffisant.</w:t>
      </w:r>
    </w:p>
    <w:p>
      <w:r>
        <w:rPr>
          <w:b/>
        </w:rPr>
        <w:t>E. 6.1</w:t>
      </w:r>
    </w:p>
    <w:p>
      <w:r>
        <w:t>Lorsque la personne assurée n'exerce pas d'activité lucrative après la survenance de l'atteinte à la santé ou, en tout cas, n'exerce pas une nouvelle activité lucrative que l'on peut raisonnablement exiger d'elle, les salaires des tables selon l’ESS publiée par l'Office fédéral de la statistique peuvent être utilisés (ATF 148 V 174 ; 143 V 295 consid. 2.2). En règle générale, la valeur totale est appliquée. Dans la pratique, la comparaison des revenus effectuée à l'aide de l’ESS doit se baser sur le groupe de tableaux A (salaires bruts standardisés), en se référant généralement au tableau TA1_tirage_skill_level, secteur privé. En outre, lors de l'utilisation des salaires bruts standardisés, il convient, selon la jurisprudence, de partir à chaque fois de la valeur dite centrale (médiane) (ATF 148 V 174 consid. 6.2 ; 126 V 75 consid. 3b/bb). En l’occurrence, le recourant ne pouvant plus travailler dans la branche spécifique du bâtiment, c’est à juste titre que l’intimé s’est référé au revenu moyen qu’il pourrait gagner dans n’importe quelle branche ou secteur d’activité, en effectuant des tâches simples et légères, à savoir de niveau de compétence 1, pour tenir compte du fait qu’il ne possède aucune formation.</w:t>
      </w:r>
    </w:p>
    <w:p>
      <w:r>
        <w:rPr>
          <w:b/>
        </w:rPr>
        <w:t>E. 6.2</w:t>
      </w:r>
    </w:p>
    <w:p>
      <w:r>
        <w:t>L’intimé a ensuite procédé à un abattement de 10% sur le salaire statistique d’invalide, pour tenir compte du fait que le recourant doit dorénavant se limiter à des activités légères et adaptées. Selon la jurisprudence, une déduction globale maximale de 25% sur le salaire statistique peut être appliquée pour tenir compte de l'ensemble des circonstances personnelles et professionnelles du cas particulier, à savoir des limitations liées au handicap, de l’âge,</w:t>
      </w:r>
    </w:p>
    <w:p>
      <w:r>
        <w:t>- 14 - des années de service, de la nationalité/catégorie d'autorisation de séjour et du taux d'occupation (cf. ATF 126 V 78 consid. 5). Le recourant estime qu’un abattement de 25% devrait être retenu dans son cas. Il n’avance toutefois aucun argument, qui serait susceptible de faire apparaître l’appréciation de l’intimé comme contraire au droit et inappropriée. En particulier, le recourant ne démontre pas que l’intimé aurait ignoré des facteurs pertinents, se serait fondé sur des considérations qui manquent de pertinence ou aurait violé le droit. En l’espèce, une déduction de 10% pour tenir compte du fait que l’assuré est dorénavant limité à l’exercice de tâches légères apparaît conforme à la législation et adéquate. Le taux d’invalidité arrondi de 16% doit dès lors être confirmé.</w:t>
      </w:r>
    </w:p>
    <w:p>
      <w:r>
        <w:rPr>
          <w:b/>
        </w:rPr>
        <w:t>E. 7</w:t>
      </w:r>
    </w:p>
    <w:p>
      <w:r>
        <w:t>Le dossier est complet et permet à la Cour de céans, par appréciation anticipée des preuves, de statuer en pleine connaissance de cause. Il n'y a dès lors pas lieu de compléter l'instruction, étant rappelé que 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140 I 285 consid. 6.3.1 ; 136 I 229 consid. 5.3 ; 131 I 153 consid. 3 ; 130 II 425 consid. 2 ; 122 II 464 consid. 4a).</w:t>
      </w:r>
    </w:p>
    <w:p>
      <w:r>
        <w:rPr>
          <w:b/>
        </w:rPr>
        <w:t>E. 8</w:t>
      </w:r>
    </w:p>
    <w:p>
      <w:r>
        <w:t>Mal fondé, le recours doit être rejeté et la décision entreprise du 11 novembre 2020 confirmée.</w:t>
      </w:r>
    </w:p>
    <w:p>
      <w:r>
        <w:rPr>
          <w:b/>
        </w:rPr>
        <w:t>E. 9</w:t>
      </w:r>
    </w:p>
    <w:p>
      <w:r>
        <w:t>Les frais de justice par 500 fr. sont mis à la charge du recourant et compensés avec son avance (art. 61 let. a aLPGA et 83 LPGA et 69 al.1bis LAI). Prononce</w:t>
      </w:r>
    </w:p>
    <w:p>
      <w:r>
        <w:t>1. Le recours est rejeté. 2. Il n’est pas alloué de dépens. 3. Les frais, par 500 francs, sont mis à la charge de X _________.</w:t>
      </w:r>
    </w:p>
    <w:p>
      <w:r>
        <w:t>Sion, le 15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